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9" w:rsidRPr="00CA21D8" w:rsidRDefault="005A3139" w:rsidP="00CA21D8">
      <w:pPr>
        <w:widowControl/>
        <w:spacing w:line="360" w:lineRule="auto"/>
        <w:jc w:val="center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b/>
          <w:bCs/>
          <w:kern w:val="0"/>
          <w:sz w:val="27"/>
          <w:szCs w:val="27"/>
        </w:rPr>
        <w:t>什么是绩效工资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导语：什么是绩效工资？绩效工资是加工资么？绩效工资是一种工资制度，是将公平有效激励机制与薪酬分配紧密结合的改革措施，是使教职工合理收入稳定增长的保障机制。本文将解读绩效工资的内涵和要义，传递上海</w:t>
      </w:r>
      <w:r>
        <w:rPr>
          <w:rFonts w:ascii="Tahoma" w:hAnsi="Tahoma" w:cs="宋体" w:hint="eastAsia"/>
          <w:kern w:val="0"/>
        </w:rPr>
        <w:t>中医药</w:t>
      </w:r>
      <w:r w:rsidRPr="00CA21D8">
        <w:rPr>
          <w:rFonts w:ascii="Tahoma" w:hAnsi="Tahoma" w:cs="宋体" w:hint="eastAsia"/>
          <w:kern w:val="0"/>
        </w:rPr>
        <w:t>大学绩效文化。</w:t>
      </w:r>
    </w:p>
    <w:p w:rsidR="005A3139" w:rsidRPr="00CA21D8" w:rsidRDefault="005A3139" w:rsidP="00CA21D8">
      <w:pPr>
        <w:widowControl/>
        <w:spacing w:line="360" w:lineRule="auto"/>
        <w:ind w:firstLine="422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b/>
          <w:bCs/>
          <w:kern w:val="0"/>
        </w:rPr>
        <w:t>规范清理本市层面的津补贴</w:t>
      </w:r>
    </w:p>
    <w:p w:rsidR="005A3139" w:rsidRDefault="005A3139" w:rsidP="006C79E9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</w:rPr>
      </w:pPr>
      <w:r w:rsidRPr="00CA21D8">
        <w:rPr>
          <w:rFonts w:ascii="Tahoma" w:hAnsi="Tahoma" w:cs="宋体" w:hint="eastAsia"/>
          <w:kern w:val="0"/>
        </w:rPr>
        <w:t>原本市规定的津贴项目，如地方职务（岗位）津贴、医保补贴性工资、地方生活津贴、八类地区补贴、物价补贴、回族补贴等十几个津贴项目，多数执行上世纪的工资标准，其工资结构不符合教职工的辛勤付出，其工资标准也不符合国民经济的发展速度。根据上级单位的统一要求，上述津贴项目予以取消，纳入绩效工资总量。</w:t>
      </w:r>
    </w:p>
    <w:p w:rsidR="005A3139" w:rsidRPr="00CA21D8" w:rsidRDefault="005A3139" w:rsidP="006C79E9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b/>
          <w:bCs/>
          <w:kern w:val="0"/>
        </w:rPr>
        <w:t>规范后的绩效工资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绩效工资由基础性绩效工资和奖励性绩效工资两部分组成。其中基础性绩效工资占总量的</w:t>
      </w:r>
      <w:r w:rsidRPr="00CA21D8">
        <w:rPr>
          <w:rFonts w:ascii="Tahoma" w:hAnsi="Tahoma" w:cs="Tahoma"/>
          <w:kern w:val="0"/>
        </w:rPr>
        <w:t>60%</w:t>
      </w:r>
      <w:r w:rsidRPr="00CA21D8">
        <w:rPr>
          <w:rFonts w:ascii="Tahoma" w:hAnsi="Tahoma" w:cs="宋体" w:hint="eastAsia"/>
          <w:kern w:val="0"/>
        </w:rPr>
        <w:t>，分为岗位津贴和工作量津贴两个项目。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岗位津贴：由市人力资源与社会保障局、市财政局按照专业技术岗位、管理岗位、工勤技能岗位，分别制定统一标准。依据教职工所聘岗位和工作年限，执行相应的岗位津贴。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工作量津贴：主要体现教</w:t>
      </w:r>
      <w:r>
        <w:rPr>
          <w:rFonts w:ascii="Tahoma" w:hAnsi="Tahoma" w:cs="宋体" w:hint="eastAsia"/>
          <w:kern w:val="0"/>
        </w:rPr>
        <w:t>职工所聘岗位的工作强度、责任和数量，学校制定统一的工作量津贴</w:t>
      </w:r>
      <w:r w:rsidRPr="00CA21D8">
        <w:rPr>
          <w:rFonts w:ascii="Tahoma" w:hAnsi="Tahoma" w:cs="宋体" w:hint="eastAsia"/>
          <w:kern w:val="0"/>
        </w:rPr>
        <w:t>系数表，部门根据教职工实际工作量，确定不同的标准。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绩效奖励：主要体现实际贡献，基于绩效考核结果，确定不同的标准，绩效奖励与考核结果紧密挂钩，落实奖惩措施，坚持优绩优酬。部门根据学校的指导意见，综合考虑专业技术岗位、管理岗位、工勤技能岗位的不同性质和特点，逐步完善考核体系，强化教育教学等关键业绩指标，奖励做出突出贡献的教职工。</w:t>
      </w:r>
    </w:p>
    <w:p w:rsidR="005A3139" w:rsidRPr="00CA21D8" w:rsidRDefault="005A3139" w:rsidP="00CA21D8">
      <w:pPr>
        <w:widowControl/>
        <w:spacing w:line="360" w:lineRule="auto"/>
        <w:ind w:firstLine="422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b/>
          <w:bCs/>
          <w:kern w:val="0"/>
        </w:rPr>
        <w:t>绩效工资额度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市人力资源社会保障局、市财政局、市教委综合考虑经济发展、财力状况、物价消费水平、教育机构在岗职工年平均工资水平等因素，核定我校绩效工资额度。额度范围内绩效工资经费是有所保障的，但是只可在核定额度范围内发放绩效工资。未来趋势是，上级部门将根据学校发展水平、高层次人才集中程度等绩效因素核定学校绩效工资水平。</w:t>
      </w:r>
    </w:p>
    <w:p w:rsidR="005A3139" w:rsidRPr="00CA21D8" w:rsidRDefault="005A3139" w:rsidP="00CA21D8">
      <w:pPr>
        <w:widowControl/>
        <w:spacing w:line="360" w:lineRule="auto"/>
        <w:ind w:firstLine="422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b/>
          <w:bCs/>
          <w:kern w:val="0"/>
        </w:rPr>
        <w:t>绩效工资不是问题，什么是</w:t>
      </w:r>
      <w:r w:rsidRPr="00CA21D8">
        <w:rPr>
          <w:rFonts w:ascii="Tahoma" w:hAnsi="Tahoma" w:cs="Tahoma"/>
          <w:b/>
          <w:bCs/>
          <w:kern w:val="0"/>
        </w:rPr>
        <w:t>“</w:t>
      </w:r>
      <w:r w:rsidRPr="00CA21D8">
        <w:rPr>
          <w:rFonts w:ascii="Tahoma" w:hAnsi="Tahoma" w:cs="宋体" w:hint="eastAsia"/>
          <w:b/>
          <w:bCs/>
          <w:kern w:val="0"/>
        </w:rPr>
        <w:t>绩效</w:t>
      </w:r>
      <w:r w:rsidRPr="00CA21D8">
        <w:rPr>
          <w:rFonts w:ascii="Tahoma" w:hAnsi="Tahoma" w:cs="Tahoma"/>
          <w:b/>
          <w:bCs/>
          <w:kern w:val="0"/>
        </w:rPr>
        <w:t>”</w:t>
      </w:r>
      <w:r w:rsidRPr="00CA21D8">
        <w:rPr>
          <w:rFonts w:ascii="Tahoma" w:hAnsi="Tahoma" w:cs="宋体" w:hint="eastAsia"/>
          <w:b/>
          <w:bCs/>
          <w:kern w:val="0"/>
        </w:rPr>
        <w:t>才是问题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绩效是达成目标</w:t>
      </w:r>
      <w:r w:rsidRPr="00CA21D8">
        <w:rPr>
          <w:rFonts w:ascii="Tahoma" w:hAnsi="Tahoma" w:cs="Tahoma"/>
          <w:kern w:val="0"/>
        </w:rPr>
        <w:t>——</w:t>
      </w:r>
      <w:r w:rsidRPr="00CA21D8">
        <w:rPr>
          <w:rFonts w:ascii="Tahoma" w:hAnsi="Tahoma" w:cs="宋体" w:hint="eastAsia"/>
          <w:kern w:val="0"/>
        </w:rPr>
        <w:t>以学生为本，专任教师创新教育教学方法，培养全面发展的学生是绩效；以服务社会为战略，科研人员研究满足国家和城市发展需求的科技成果是绩效；以管理服务为保障，职能部门优化服务流程和提高工作质量是绩效。</w:t>
      </w:r>
    </w:p>
    <w:p w:rsidR="005A3139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</w:rPr>
      </w:pPr>
      <w:r w:rsidRPr="00CA21D8">
        <w:rPr>
          <w:rFonts w:ascii="Tahoma" w:hAnsi="Tahoma" w:cs="宋体" w:hint="eastAsia"/>
          <w:kern w:val="0"/>
        </w:rPr>
        <w:t>绩效是核心关键业绩指标（</w:t>
      </w:r>
      <w:r w:rsidRPr="00CA21D8">
        <w:rPr>
          <w:rFonts w:ascii="Tahoma" w:hAnsi="Tahoma" w:cs="Tahoma"/>
          <w:kern w:val="0"/>
        </w:rPr>
        <w:t>KPI</w:t>
      </w:r>
      <w:r w:rsidRPr="00CA21D8">
        <w:rPr>
          <w:rFonts w:ascii="Tahoma" w:hAnsi="Tahoma" w:cs="宋体" w:hint="eastAsia"/>
          <w:kern w:val="0"/>
        </w:rPr>
        <w:t>）任务分解</w:t>
      </w:r>
      <w:r w:rsidRPr="00CA21D8">
        <w:rPr>
          <w:rFonts w:ascii="Tahoma" w:hAnsi="Tahoma" w:cs="Tahoma"/>
          <w:kern w:val="0"/>
        </w:rPr>
        <w:t>——</w:t>
      </w:r>
      <w:r w:rsidRPr="00CA21D8">
        <w:rPr>
          <w:rFonts w:ascii="Tahoma" w:hAnsi="Tahoma" w:cs="宋体" w:hint="eastAsia"/>
          <w:kern w:val="0"/>
        </w:rPr>
        <w:t>学校战略发展目标横向到边、纵向到底、逐层分解至部门、学院、个人，通过全校教职工共同努力提高整体教育教学、科学研究水平是绩效。</w:t>
      </w:r>
    </w:p>
    <w:p w:rsidR="005A3139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</w:rPr>
      </w:pPr>
      <w:r w:rsidRPr="00CA21D8">
        <w:rPr>
          <w:rFonts w:ascii="Tahoma" w:hAnsi="Tahoma" w:cs="宋体" w:hint="eastAsia"/>
          <w:kern w:val="0"/>
        </w:rPr>
        <w:t>绩效是过程管理</w:t>
      </w:r>
      <w:r w:rsidRPr="00CA21D8">
        <w:rPr>
          <w:rFonts w:ascii="Tahoma" w:hAnsi="Tahoma" w:cs="Tahoma"/>
          <w:kern w:val="0"/>
        </w:rPr>
        <w:t>——</w:t>
      </w:r>
      <w:r w:rsidRPr="00CA21D8">
        <w:rPr>
          <w:rFonts w:ascii="Tahoma" w:hAnsi="Tahoma" w:cs="宋体" w:hint="eastAsia"/>
          <w:kern w:val="0"/>
        </w:rPr>
        <w:t>通过不断制订计划、执行、改正的</w:t>
      </w:r>
      <w:r w:rsidRPr="00CA21D8">
        <w:rPr>
          <w:rFonts w:ascii="Tahoma" w:hAnsi="Tahoma" w:cs="Tahoma"/>
          <w:kern w:val="0"/>
        </w:rPr>
        <w:t>PDCA</w:t>
      </w:r>
      <w:r w:rsidRPr="00CA21D8">
        <w:rPr>
          <w:rFonts w:ascii="Tahoma" w:hAnsi="Tahoma" w:cs="宋体" w:hint="eastAsia"/>
          <w:kern w:val="0"/>
        </w:rPr>
        <w:t>循环过程（包括绩效目标设定、绩效要求达成、绩效实施修正、绩效面谈、绩效改进、再制定目标），发现问题、改进问题的过程是绩效。</w:t>
      </w:r>
    </w:p>
    <w:p w:rsidR="005A3139" w:rsidRPr="00CA21D8" w:rsidRDefault="005A3139" w:rsidP="00CA21D8">
      <w:pPr>
        <w:widowControl/>
        <w:spacing w:line="360" w:lineRule="auto"/>
        <w:ind w:firstLine="422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b/>
          <w:bCs/>
          <w:kern w:val="0"/>
        </w:rPr>
        <w:t>绩效工资实施步骤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第一步：规范清理本市层面的津补贴，核定发放岗位津贴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取消并纳入绩效工资总量的项目有：原国家规定的年终一次性奖金，原本市规定的津贴补贴项目，包括地方职务（岗位）津贴、医保补贴性工资、地方生活津贴、八类地区工资补贴、物价补贴、伙食补贴、回族等少数民族物价补贴和伙食补贴、婴儿牛奶补贴、住房提租补贴、夏令补贴、书报费、年终一次性奖金中的地方职务（岗位）津贴部分，教育工作者津贴。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予以保留的项目有：国家规定发放的上下班交通费补贴、粮油补贴、教龄补贴、护龄补贴、政府特殊津贴，以及本市原独生子女父母奖励费、选派青年志愿人员赴云南扶贫补贴、选派干部赴西藏等省市补贴等项目和标准继续保留，不纳入绩效工资总量。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岗位津贴由人事部门为教职工核算，按</w:t>
      </w:r>
      <w:r>
        <w:rPr>
          <w:rFonts w:ascii="Tahoma" w:hAnsi="Tahoma" w:cs="宋体" w:hint="eastAsia"/>
          <w:kern w:val="0"/>
        </w:rPr>
        <w:t>每月</w:t>
      </w:r>
      <w:r>
        <w:rPr>
          <w:rFonts w:ascii="Tahoma" w:hAnsi="Tahoma" w:cs="Tahoma"/>
          <w:kern w:val="0"/>
        </w:rPr>
        <w:t>6</w:t>
      </w:r>
      <w:r>
        <w:rPr>
          <w:rFonts w:ascii="Tahoma" w:hAnsi="Tahoma" w:cs="宋体" w:hint="eastAsia"/>
          <w:kern w:val="0"/>
        </w:rPr>
        <w:t>日</w:t>
      </w:r>
      <w:r w:rsidRPr="00CA21D8">
        <w:rPr>
          <w:rFonts w:ascii="Tahoma" w:hAnsi="Tahoma" w:cs="宋体" w:hint="eastAsia"/>
          <w:kern w:val="0"/>
        </w:rPr>
        <w:t>发放至</w:t>
      </w:r>
      <w:r>
        <w:rPr>
          <w:rFonts w:ascii="Tahoma" w:hAnsi="Tahoma" w:cs="宋体" w:hint="eastAsia"/>
          <w:kern w:val="0"/>
        </w:rPr>
        <w:t>工商</w:t>
      </w:r>
      <w:r w:rsidRPr="00CA21D8">
        <w:rPr>
          <w:rFonts w:ascii="Tahoma" w:hAnsi="Tahoma" w:cs="宋体" w:hint="eastAsia"/>
          <w:kern w:val="0"/>
        </w:rPr>
        <w:t>银行工资卡中。详细信息见</w:t>
      </w:r>
      <w:r>
        <w:rPr>
          <w:rFonts w:ascii="Tahoma" w:hAnsi="Tahoma" w:cs="Tahoma"/>
          <w:kern w:val="0"/>
        </w:rPr>
        <w:t>OA</w:t>
      </w:r>
      <w:r>
        <w:rPr>
          <w:rFonts w:ascii="Tahoma" w:hAnsi="Tahoma" w:cs="宋体" w:hint="eastAsia"/>
          <w:kern w:val="0"/>
        </w:rPr>
        <w:t>公告栏</w:t>
      </w:r>
      <w:r w:rsidRPr="00CA21D8">
        <w:rPr>
          <w:rFonts w:ascii="Tahoma" w:hAnsi="Tahoma" w:cs="宋体" w:hint="eastAsia"/>
          <w:kern w:val="0"/>
        </w:rPr>
        <w:t>《关于</w:t>
      </w:r>
      <w:r>
        <w:rPr>
          <w:rFonts w:ascii="Tahoma" w:hAnsi="Tahoma" w:cs="宋体" w:hint="eastAsia"/>
          <w:kern w:val="0"/>
        </w:rPr>
        <w:t>绩效工资梳理归并后收入发放的</w:t>
      </w:r>
      <w:r w:rsidRPr="00CA21D8">
        <w:rPr>
          <w:rFonts w:ascii="Tahoma" w:hAnsi="Tahoma" w:cs="宋体" w:hint="eastAsia"/>
          <w:kern w:val="0"/>
        </w:rPr>
        <w:t>通知》。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第二步摸清各部门收入分配水平，缩小不合理的收入差距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学校综合考虑部门的人员结构、发放水平和上一考核周期的工作绩效等因素，核定部门绩效工资额度。统筹兼顾部门现有总量和发放水平，对完成目标任务好、业绩优秀、高层次人才集中的部门适当倾斜，逐步缩小各部门间不合理的收入差距。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第三步部门制定形成工作量津贴和绩效奖励考核分配方案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部门党政联席会负责部门绩效工资实施工作，并成立相应的绩效工资工作小组和考核小组，根据学校的指导意见，结合本部门实际情况和发展规划，制订充分体现责薪一致、优绩优酬的考核、分配方案。</w:t>
      </w:r>
    </w:p>
    <w:p w:rsidR="005A3139" w:rsidRPr="00CA21D8" w:rsidRDefault="005A3139" w:rsidP="00CA21D8">
      <w:pPr>
        <w:widowControl/>
        <w:spacing w:line="360" w:lineRule="auto"/>
        <w:ind w:firstLine="422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b/>
          <w:bCs/>
          <w:kern w:val="0"/>
        </w:rPr>
        <w:t>结语</w:t>
      </w:r>
    </w:p>
    <w:p w:rsidR="005A3139" w:rsidRPr="00CA21D8" w:rsidRDefault="005A3139" w:rsidP="00CA21D8">
      <w:pPr>
        <w:widowControl/>
        <w:spacing w:line="360" w:lineRule="auto"/>
        <w:ind w:firstLine="420"/>
        <w:jc w:val="left"/>
        <w:rPr>
          <w:rFonts w:ascii="Tahoma" w:hAnsi="Tahoma" w:cs="Tahoma"/>
          <w:kern w:val="0"/>
          <w:sz w:val="17"/>
          <w:szCs w:val="17"/>
        </w:rPr>
      </w:pPr>
      <w:r w:rsidRPr="00CA21D8">
        <w:rPr>
          <w:rFonts w:ascii="Tahoma" w:hAnsi="Tahoma" w:cs="宋体" w:hint="eastAsia"/>
          <w:kern w:val="0"/>
        </w:rPr>
        <w:t>上海</w:t>
      </w:r>
      <w:r>
        <w:rPr>
          <w:rFonts w:ascii="Tahoma" w:hAnsi="Tahoma" w:cs="宋体" w:hint="eastAsia"/>
          <w:kern w:val="0"/>
        </w:rPr>
        <w:t>中医药</w:t>
      </w:r>
      <w:r w:rsidRPr="00CA21D8">
        <w:rPr>
          <w:rFonts w:ascii="Tahoma" w:hAnsi="Tahoma" w:cs="宋体" w:hint="eastAsia"/>
          <w:kern w:val="0"/>
        </w:rPr>
        <w:t>大学中长期的绩效目标是达到</w:t>
      </w:r>
      <w:r>
        <w:rPr>
          <w:rFonts w:ascii="Tahoma" w:hAnsi="Tahoma" w:cs="宋体" w:hint="eastAsia"/>
          <w:kern w:val="0"/>
        </w:rPr>
        <w:t>核心竞争力居全国中医药院校首位，综合实力稳居全国中医药院校前列的战略目标</w:t>
      </w:r>
      <w:r w:rsidRPr="00CA21D8">
        <w:rPr>
          <w:rFonts w:ascii="Tahoma" w:hAnsi="Tahoma" w:cs="宋体" w:hint="eastAsia"/>
          <w:kern w:val="0"/>
        </w:rPr>
        <w:t>。因此，构建符合学校特点、适应国际化大都市地位和发展需</w:t>
      </w:r>
      <w:r>
        <w:rPr>
          <w:rFonts w:ascii="Tahoma" w:hAnsi="Tahoma" w:cs="宋体" w:hint="eastAsia"/>
          <w:kern w:val="0"/>
        </w:rPr>
        <w:t>求的绩效工资管理体制势在必行。我校目前正在改革实施基于</w:t>
      </w:r>
      <w:r w:rsidRPr="00CA21D8">
        <w:rPr>
          <w:rFonts w:ascii="Tahoma" w:hAnsi="Tahoma" w:cs="宋体" w:hint="eastAsia"/>
          <w:kern w:val="0"/>
        </w:rPr>
        <w:t>考核体系的绩效工资制度，</w:t>
      </w:r>
      <w:r>
        <w:rPr>
          <w:rFonts w:ascii="Tahoma" w:hAnsi="Tahoma" w:cs="宋体" w:hint="eastAsia"/>
          <w:kern w:val="0"/>
        </w:rPr>
        <w:t>营造有利于激发广大教职工的积极性和创造性、有利于优秀人才脱颖而出的良好环境，</w:t>
      </w:r>
      <w:r w:rsidRPr="00CA21D8">
        <w:rPr>
          <w:rFonts w:ascii="Tahoma" w:hAnsi="Tahoma" w:cs="宋体" w:hint="eastAsia"/>
          <w:kern w:val="0"/>
        </w:rPr>
        <w:t>为广大教职工职业生涯发展提供保障，为学校的快速发展注入新的活力。</w:t>
      </w:r>
    </w:p>
    <w:p w:rsidR="005A3139" w:rsidRPr="00CA21D8" w:rsidRDefault="005A3139">
      <w:pPr>
        <w:rPr>
          <w:rFonts w:cs="Times New Roman"/>
        </w:rPr>
      </w:pPr>
      <w:bookmarkStart w:id="0" w:name="_GoBack"/>
      <w:bookmarkEnd w:id="0"/>
    </w:p>
    <w:sectPr w:rsidR="005A3139" w:rsidRPr="00CA21D8" w:rsidSect="001B273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39" w:rsidRDefault="005A31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3139" w:rsidRDefault="005A31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39" w:rsidRDefault="005A3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39" w:rsidRDefault="005A31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3139" w:rsidRDefault="005A31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39" w:rsidRDefault="005A3139" w:rsidP="00D225A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1D8"/>
    <w:rsid w:val="001B2735"/>
    <w:rsid w:val="00312C36"/>
    <w:rsid w:val="00345074"/>
    <w:rsid w:val="003C59B9"/>
    <w:rsid w:val="00483FEA"/>
    <w:rsid w:val="004911D3"/>
    <w:rsid w:val="005A3139"/>
    <w:rsid w:val="006C79E9"/>
    <w:rsid w:val="007412E3"/>
    <w:rsid w:val="007804CC"/>
    <w:rsid w:val="00A009BF"/>
    <w:rsid w:val="00A2141C"/>
    <w:rsid w:val="00AD6617"/>
    <w:rsid w:val="00CA21D8"/>
    <w:rsid w:val="00D225A3"/>
    <w:rsid w:val="00DA315D"/>
    <w:rsid w:val="00F1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3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A21D8"/>
    <w:rPr>
      <w:b/>
      <w:bCs/>
    </w:rPr>
  </w:style>
  <w:style w:type="paragraph" w:styleId="Header">
    <w:name w:val="header"/>
    <w:basedOn w:val="Normal"/>
    <w:link w:val="HeaderChar"/>
    <w:uiPriority w:val="99"/>
    <w:rsid w:val="0074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9B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4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98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899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8992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899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899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899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899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899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7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0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1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12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1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1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1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17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1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1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02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284</Words>
  <Characters>1625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2014-04-17T00:18:00Z</dcterms:created>
  <dc:creator>xx</dc:creator>
  <lastModifiedBy>马永梅</lastModifiedBy>
  <lastPrinted>2014-04-17T00:18:00Z</lastPrinted>
  <dcterms:modified xsi:type="dcterms:W3CDTF">2014-04-17T00:21:00Z</dcterms:modified>
  <revision>3</revision>
  <dc:title>什么是绩效工资</dc:title>
</coreProperties>
</file>